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19BA" w:rsidRPr="003119BA" w:rsidRDefault="003119BA" w:rsidP="003119B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119BA">
        <w:rPr>
          <w:b/>
          <w:bCs/>
          <w:color w:val="333333"/>
          <w:sz w:val="28"/>
          <w:szCs w:val="28"/>
        </w:rPr>
        <w:t>Нововведения при реализации средств материнского капитала</w:t>
      </w:r>
    </w:p>
    <w:bookmarkEnd w:id="0"/>
    <w:p w:rsidR="003119BA" w:rsidRPr="003119BA" w:rsidRDefault="003119BA" w:rsidP="003119B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119BA">
        <w:rPr>
          <w:color w:val="000000"/>
          <w:sz w:val="28"/>
          <w:szCs w:val="28"/>
        </w:rPr>
        <w:t> </w:t>
      </w:r>
      <w:r w:rsidRPr="003119BA">
        <w:rPr>
          <w:color w:val="FFFFFF"/>
          <w:sz w:val="28"/>
          <w:szCs w:val="28"/>
        </w:rPr>
        <w:t>Текст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Материнский (семейный) капитал - это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С 01.04.2023 вступили в силу изменения в Федеральный закон от 29.12.2006 № 256-ФЗ «О дополнительных мерах государственной поддержки семей, имеющих детей», согласно которым кредитные потребительские кооперативы и сельскохозяйственные кредитные потребительские кооперативы, на погашение займов которых могут быть направлены средства материнского капитала, должны будут соответствовать требованиям Банка России.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Такие кооперативы должны быть включены в специальный перечень, который размещается на официальном сайте Центрального банка Российской Федерации в информационно-телекоммуникационной сети «Интернет». 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Вместе с тем, указанные требования не распространяются на договоры займа на приобретение (строительство) жилого помещения, заключенные с кредитным потребительским кооперативом или сельскохозяйственным кредитным потребительским кооперативом до дня вступления в силу настоящего федерального закона, то есть до 01.04.2023.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Таким образом, законодатель принял меры по защите владельцев материнского капитала при приобретении жилья, учитывая, что в указанной сфере на регулярной основе допускаются нарушения, в том числе такие как выдача займа на непригодное для проживания жилье по завышенной стоимости. 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635FF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51E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2023-04-26T10:03:00Z</dcterms:created>
  <dcterms:modified xsi:type="dcterms:W3CDTF">2023-04-26T10:03:00Z</dcterms:modified>
</cp:coreProperties>
</file>